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Customer success plan</w:t>
      </w:r>
    </w:p>
    <w:p>
      <w:pPr>
        <w:pStyle w:val="Subtitle"/>
      </w:pPr>
      <w:r>
        <w:t xml:space="preserve">A 20-person agency · October–November 2026</w:t>
      </w:r>
    </w:p>
    <w:p>
      <w:pPr>
        <w:pStyle w:val="Note"/>
      </w:pPr>
      <w:r>
        <w:t xml:space="preserve">Completed example — fictional customer and figures.</w:t>
      </w:r>
    </w:p>
    <w:tbl>
      <w:tblPr>
        <w:tblW w:w="10206" w:type="dxa"/>
        <w:tblLayout w:type="fixed"/>
        <w:tblBorders>
          <w:top w:val="single" w:sz="4" w:color="DDE6ED"/>
          <w:left w:val="single" w:sz="4" w:color="DDE6ED"/>
          <w:bottom w:val="single" w:sz="4" w:color="DDE6ED"/>
          <w:right w:val="single" w:sz="4" w:color="DDE6ED"/>
          <w:insideH w:val="single" w:sz="4" w:color="DDE6ED"/>
          <w:insideV w:val="single" w:sz="4" w:color="DDE6ED"/>
        </w:tblBorders>
        <w:tblCellMar>
          <w:top w:w="90" w:type="dxa"/>
          <w:left w:w="130" w:type="dxa"/>
          <w:bottom w:w="90" w:type="dxa"/>
          <w:right w:w="130" w:type="dxa"/>
        </w:tblCellMar>
      </w:tblPr>
      <w:tblGrid>
        <w:gridCol w:w="2600"/>
        <w:gridCol w:w="2600"/>
        <w:gridCol w:w="2100"/>
        <w:gridCol w:w="2906"/>
      </w:tblGrid>
      <w:tr>
        <w:trPr>
          <w:cantSplit/>
          <w:tblHeader/>
        </w:trPr>
        <w:tc>
          <w:tcPr>
            <w:tcW w:w="2600" w:type="dxa"/>
            <w:shd w:val="clear" w:fill="F2F6F9"/>
            <w:vAlign w:val="center"/>
          </w:tcPr>
          <w:p>
            <w:pPr>
              <w:pStyle w:val="TableHeader"/>
            </w:pPr>
            <w:r>
              <w:t xml:space="preserve">Customer contact</w:t>
            </w:r>
          </w:p>
        </w:tc>
        <w:tc>
          <w:tcPr>
            <w:tcW w:w="2600" w:type="dxa"/>
            <w:shd w:val="clear" w:fill="F2F6F9"/>
            <w:vAlign w:val="center"/>
          </w:tcPr>
          <w:p>
            <w:pPr>
              <w:pStyle w:val="TableHeader"/>
            </w:pPr>
            <w:r>
              <w:t xml:space="preserve">Our contact</w:t>
            </w:r>
          </w:p>
        </w:tc>
        <w:tc>
          <w:tcPr>
            <w:tcW w:w="2100" w:type="dxa"/>
            <w:shd w:val="clear" w:fill="F2F6F9"/>
            <w:vAlign w:val="center"/>
          </w:tcPr>
          <w:p>
            <w:pPr>
              <w:pStyle w:val="TableHeader"/>
            </w:pPr>
            <w:r>
              <w:t xml:space="preserve">Last reviewed</w:t>
            </w:r>
          </w:p>
        </w:tc>
        <w:tc>
          <w:tcPr>
            <w:tcW w:w="2906" w:type="dxa"/>
            <w:shd w:val="clear" w:fill="F2F6F9"/>
            <w:vAlign w:val="center"/>
          </w:tcPr>
          <w:p>
            <w:pPr>
              <w:pStyle w:val="TableHeader"/>
            </w:pPr>
            <w:r>
              <w:t xml:space="preserve">Next review</w:t>
            </w:r>
          </w:p>
        </w:tc>
      </w:tr>
      <w:tr>
        <w:trPr>
          <w:cantSplit/>
        </w:trPr>
        <w:tc>
          <w:tcPr>
            <w:tcW w:w="2600" w:type="dxa"/>
            <w:vAlign w:val="center"/>
          </w:tcPr>
          <w:p>
            <w:pPr>
              <w:pStyle w:val="TableCell"/>
            </w:pPr>
            <w:r>
              <w:t xml:space="preserve">Finance lead</w:t>
            </w:r>
          </w:p>
        </w:tc>
        <w:tc>
          <w:tcPr>
            <w:tcW w:w="2600" w:type="dxa"/>
            <w:vAlign w:val="center"/>
          </w:tcPr>
          <w:p>
            <w:pPr>
              <w:pStyle w:val="TableCell"/>
            </w:pPr>
            <w:r>
              <w:t xml:space="preserve">Onboarding lead</w:t>
            </w:r>
          </w:p>
        </w:tc>
        <w:tc>
          <w:tcPr>
            <w:tcW w:w="2100" w:type="dxa"/>
            <w:vAlign w:val="center"/>
          </w:tcPr>
          <w:p>
            <w:pPr>
              <w:pStyle w:val="TableCell"/>
            </w:pPr>
            <w:r>
              <w:t xml:space="preserve">15 October 2026</w:t>
            </w:r>
          </w:p>
        </w:tc>
        <w:tc>
          <w:tcPr>
            <w:tcW w:w="2906" w:type="dxa"/>
            <w:vAlign w:val="center"/>
          </w:tcPr>
          <w:p>
            <w:pPr>
              <w:pStyle w:val="TableCell"/>
            </w:pPr>
            <w:r>
              <w:t xml:space="preserve">29 October 2026, 10:00 UTC</w:t>
            </w:r>
          </w:p>
        </w:tc>
      </w:tr>
    </w:tbl>
    <w:p>
      <w:pPr>
        <w:pStyle w:val="Heading1"/>
      </w:pPr>
      <w:r>
        <w:t xml:space="preserve">Customer outcome</w:t>
      </w:r>
    </w:p>
    <w:p>
      <w:pPr>
        <w:pStyle w:val="Normal"/>
      </w:pPr>
      <w:r>
        <w:t xml:space="preserve">Cut the time spent preparing invoices each week and send invoices while the work is still fresh. The finance team currently rebuilds each invoice from project notes and spreadsheets.</w:t>
      </w:r>
    </w:p>
    <w:p>
      <w:pPr>
        <w:pStyle w:val="Heading1"/>
      </w:pPr>
      <w:r>
        <w:t xml:space="preserve">Success measures</w:t>
      </w:r>
    </w:p>
    <w:tbl>
      <w:tblPr>
        <w:tblW w:w="10206" w:type="dxa"/>
        <w:tblLayout w:type="fixed"/>
        <w:tblBorders>
          <w:top w:val="single" w:sz="4" w:color="DDE6ED"/>
          <w:left w:val="single" w:sz="4" w:color="DDE6ED"/>
          <w:bottom w:val="single" w:sz="4" w:color="DDE6ED"/>
          <w:right w:val="single" w:sz="4" w:color="DDE6ED"/>
          <w:insideH w:val="single" w:sz="4" w:color="DDE6ED"/>
          <w:insideV w:val="single" w:sz="4" w:color="DDE6ED"/>
        </w:tblBorders>
        <w:tblCellMar>
          <w:top w:w="90" w:type="dxa"/>
          <w:left w:w="130" w:type="dxa"/>
          <w:bottom w:w="90" w:type="dxa"/>
          <w:right w:w="130" w:type="dxa"/>
        </w:tblCellMar>
      </w:tblPr>
      <w:tblGrid>
        <w:gridCol w:w="3100"/>
        <w:gridCol w:w="1900"/>
        <w:gridCol w:w="1900"/>
        <w:gridCol w:w="1900"/>
        <w:gridCol w:w="1406"/>
      </w:tblGrid>
      <w:tr>
        <w:trPr>
          <w:cantSplit/>
          <w:tblHeader/>
        </w:trPr>
        <w:tc>
          <w:tcPr>
            <w:tcW w:w="3100" w:type="dxa"/>
            <w:shd w:val="clear" w:fill="F2F6F9"/>
            <w:vAlign w:val="center"/>
          </w:tcPr>
          <w:p>
            <w:pPr>
              <w:pStyle w:val="TableHeader"/>
            </w:pPr>
            <w:r>
              <w:t xml:space="preserve">Measure</w:t>
            </w:r>
          </w:p>
        </w:tc>
        <w:tc>
          <w:tcPr>
            <w:tcW w:w="1900" w:type="dxa"/>
            <w:shd w:val="clear" w:fill="F2F6F9"/>
            <w:vAlign w:val="center"/>
          </w:tcPr>
          <w:p>
            <w:pPr>
              <w:pStyle w:val="TableHeader"/>
            </w:pPr>
            <w:r>
              <w:t xml:space="preserve">Starting point</w:t>
            </w:r>
          </w:p>
        </w:tc>
        <w:tc>
          <w:tcPr>
            <w:tcW w:w="1900" w:type="dxa"/>
            <w:shd w:val="clear" w:fill="F2F6F9"/>
            <w:vAlign w:val="center"/>
          </w:tcPr>
          <w:p>
            <w:pPr>
              <w:pStyle w:val="TableHeader"/>
            </w:pPr>
            <w:r>
              <w:t xml:space="preserve">Latest result</w:t>
            </w:r>
          </w:p>
        </w:tc>
        <w:tc>
          <w:tcPr>
            <w:tcW w:w="1900" w:type="dxa"/>
            <w:shd w:val="clear" w:fill="F2F6F9"/>
            <w:vAlign w:val="center"/>
          </w:tcPr>
          <w:p>
            <w:pPr>
              <w:pStyle w:val="TableHeader"/>
            </w:pPr>
            <w:r>
              <w:t xml:space="preserve">Target</w:t>
            </w:r>
          </w:p>
        </w:tc>
        <w:tc>
          <w:tcPr>
            <w:tcW w:w="1406" w:type="dxa"/>
            <w:shd w:val="clear" w:fill="F2F6F9"/>
            <w:vAlign w:val="center"/>
          </w:tcPr>
          <w:p>
            <w:pPr>
              <w:pStyle w:val="TableHeader"/>
            </w:pPr>
            <w:r>
              <w:t xml:space="preserve">By</w:t>
            </w:r>
          </w:p>
        </w:tc>
      </w:tr>
      <w:tr>
        <w:trPr>
          <w:cantSplit/>
        </w:trPr>
        <w:tc>
          <w:tcPr>
            <w:tcW w:w="3100" w:type="dxa"/>
            <w:vAlign w:val="center"/>
          </w:tcPr>
          <w:p>
            <w:pPr>
              <w:pStyle w:val="TableCell"/>
            </w:pPr>
            <w:r>
              <w:t xml:space="preserve">Weekly invoice preparation</w:t>
            </w:r>
          </w:p>
        </w:tc>
        <w:tc>
          <w:tcPr>
            <w:tcW w:w="1900" w:type="dxa"/>
            <w:vAlign w:val="center"/>
          </w:tcPr>
          <w:p>
            <w:pPr>
              <w:pStyle w:val="TableCell"/>
            </w:pPr>
            <w:r>
              <w:t xml:space="preserve">6 hours</w:t>
            </w:r>
          </w:p>
        </w:tc>
        <w:tc>
          <w:tcPr>
            <w:tcW w:w="1900" w:type="dxa"/>
            <w:vAlign w:val="center"/>
          </w:tcPr>
          <w:p>
            <w:pPr>
              <w:pStyle w:val="TableCell"/>
            </w:pPr>
            <w:r>
              <w:t xml:space="preserve">4.5 hours</w:t>
            </w:r>
          </w:p>
        </w:tc>
        <w:tc>
          <w:tcPr>
            <w:tcW w:w="1900" w:type="dxa"/>
            <w:vAlign w:val="center"/>
          </w:tcPr>
          <w:p>
            <w:pPr>
              <w:pStyle w:val="TableCell"/>
            </w:pPr>
            <w:r>
              <w:t xml:space="preserve">2 hours</w:t>
            </w:r>
          </w:p>
        </w:tc>
        <w:tc>
          <w:tcPr>
            <w:tcW w:w="1406" w:type="dxa"/>
            <w:vAlign w:val="center"/>
          </w:tcPr>
          <w:p>
            <w:pPr>
              <w:pStyle w:val="TableCell"/>
            </w:pPr>
            <w:r>
              <w:t xml:space="preserve">30 Nov</w:t>
            </w:r>
          </w:p>
        </w:tc>
      </w:tr>
      <w:tr>
        <w:trPr>
          <w:cantSplit/>
        </w:trPr>
        <w:tc>
          <w:tcPr>
            <w:tcW w:w="3100" w:type="dxa"/>
            <w:vAlign w:val="center"/>
          </w:tcPr>
          <w:p>
            <w:pPr>
              <w:pStyle w:val="TableCell"/>
            </w:pPr>
            <w:r>
              <w:t xml:space="preserve">Work invoiced within 7 days</w:t>
            </w:r>
          </w:p>
        </w:tc>
        <w:tc>
          <w:tcPr>
            <w:tcW w:w="1900" w:type="dxa"/>
            <w:vAlign w:val="center"/>
          </w:tcPr>
          <w:p>
            <w:pPr>
              <w:pStyle w:val="TableCell"/>
            </w:pPr>
            <w:r>
              <w:t xml:space="preserve">65%</w:t>
            </w:r>
          </w:p>
        </w:tc>
        <w:tc>
          <w:tcPr>
            <w:tcW w:w="1900" w:type="dxa"/>
            <w:vAlign w:val="center"/>
          </w:tcPr>
          <w:p>
            <w:pPr>
              <w:pStyle w:val="TableCell"/>
            </w:pPr>
            <w:r>
              <w:t xml:space="preserve">78%</w:t>
            </w:r>
          </w:p>
        </w:tc>
        <w:tc>
          <w:tcPr>
            <w:tcW w:w="1900" w:type="dxa"/>
            <w:vAlign w:val="center"/>
          </w:tcPr>
          <w:p>
            <w:pPr>
              <w:pStyle w:val="TableCell"/>
            </w:pPr>
            <w:r>
              <w:t xml:space="preserve">95%</w:t>
            </w:r>
          </w:p>
        </w:tc>
        <w:tc>
          <w:tcPr>
            <w:tcW w:w="1406" w:type="dxa"/>
            <w:vAlign w:val="center"/>
          </w:tcPr>
          <w:p>
            <w:pPr>
              <w:pStyle w:val="TableCell"/>
            </w:pPr>
            <w:r>
              <w:t xml:space="preserve">30 Nov</w:t>
            </w:r>
          </w:p>
        </w:tc>
      </w:tr>
    </w:tbl>
    <w:p>
      <w:pPr>
        <w:pStyle w:val="Note"/>
      </w:pPr>
      <w:r>
        <w:t xml:space="preserve">Source: the finance lead’s weekly time log and invoice records. Baseline: four weeks ending 25 September. Latest: week ending 9 October, with similar invoice volume.</w:t>
      </w:r>
    </w:p>
    <w:p>
      <w:pPr>
        <w:pStyle w:val="Heading1"/>
      </w:pPr>
      <w:r>
        <w:t xml:space="preserve">Actions and milestones</w:t>
      </w:r>
    </w:p>
    <w:tbl>
      <w:tblPr>
        <w:tblW w:w="10206" w:type="dxa"/>
        <w:tblLayout w:type="fixed"/>
        <w:tblBorders>
          <w:top w:val="single" w:sz="4" w:color="DDE6ED"/>
          <w:left w:val="single" w:sz="4" w:color="DDE6ED"/>
          <w:bottom w:val="single" w:sz="4" w:color="DDE6ED"/>
          <w:right w:val="single" w:sz="4" w:color="DDE6ED"/>
          <w:insideH w:val="single" w:sz="4" w:color="DDE6ED"/>
          <w:insideV w:val="single" w:sz="4" w:color="DDE6ED"/>
        </w:tblBorders>
        <w:tblCellMar>
          <w:top w:w="90" w:type="dxa"/>
          <w:left w:w="130" w:type="dxa"/>
          <w:bottom w:w="90" w:type="dxa"/>
          <w:right w:w="130" w:type="dxa"/>
        </w:tblCellMar>
      </w:tblPr>
      <w:tblGrid>
        <w:gridCol w:w="4200"/>
        <w:gridCol w:w="2300"/>
        <w:gridCol w:w="1300"/>
        <w:gridCol w:w="2406"/>
      </w:tblGrid>
      <w:tr>
        <w:trPr>
          <w:cantSplit/>
          <w:tblHeader/>
        </w:trPr>
        <w:tc>
          <w:tcPr>
            <w:tcW w:w="4200" w:type="dxa"/>
            <w:shd w:val="clear" w:fill="F2F6F9"/>
            <w:vAlign w:val="center"/>
          </w:tcPr>
          <w:p>
            <w:pPr>
              <w:pStyle w:val="TableHeader"/>
            </w:pPr>
            <w:r>
              <w:t xml:space="preserve">Action / milestone</w:t>
            </w:r>
          </w:p>
        </w:tc>
        <w:tc>
          <w:tcPr>
            <w:tcW w:w="2300" w:type="dxa"/>
            <w:shd w:val="clear" w:fill="F2F6F9"/>
            <w:vAlign w:val="center"/>
          </w:tcPr>
          <w:p>
            <w:pPr>
              <w:pStyle w:val="TableHeader"/>
            </w:pPr>
            <w:r>
              <w:t xml:space="preserve">Owner</w:t>
            </w:r>
          </w:p>
        </w:tc>
        <w:tc>
          <w:tcPr>
            <w:tcW w:w="1300" w:type="dxa"/>
            <w:shd w:val="clear" w:fill="F2F6F9"/>
            <w:vAlign w:val="center"/>
          </w:tcPr>
          <w:p>
            <w:pPr>
              <w:pStyle w:val="TableHeader"/>
            </w:pPr>
            <w:r>
              <w:t xml:space="preserve">Due</w:t>
            </w:r>
          </w:p>
        </w:tc>
        <w:tc>
          <w:tcPr>
            <w:tcW w:w="2406" w:type="dxa"/>
            <w:shd w:val="clear" w:fill="F2F6F9"/>
            <w:vAlign w:val="center"/>
          </w:tcPr>
          <w:p>
            <w:pPr>
              <w:pStyle w:val="TableHeader"/>
            </w:pPr>
            <w:r>
              <w:t xml:space="preserve">Progress</w:t>
            </w:r>
          </w:p>
        </w:tc>
      </w:tr>
      <w:tr>
        <w:trPr>
          <w:cantSplit/>
        </w:trPr>
        <w:tc>
          <w:tcPr>
            <w:tcW w:w="4200" w:type="dxa"/>
            <w:vAlign w:val="center"/>
          </w:tcPr>
          <w:p>
            <w:pPr>
              <w:pStyle w:val="TableCell"/>
            </w:pPr>
            <w:r>
              <w:t xml:space="preserve">Import the records and check the totals</w:t>
            </w:r>
          </w:p>
        </w:tc>
        <w:tc>
          <w:tcPr>
            <w:tcW w:w="2300" w:type="dxa"/>
            <w:vAlign w:val="center"/>
          </w:tcPr>
          <w:p>
            <w:pPr>
              <w:pStyle w:val="TableCell"/>
            </w:pPr>
            <w:r>
              <w:t xml:space="preserve">Onboarding lead</w:t>
            </w:r>
          </w:p>
        </w:tc>
        <w:tc>
          <w:tcPr>
            <w:tcW w:w="1300" w:type="dxa"/>
            <w:vAlign w:val="center"/>
          </w:tcPr>
          <w:p>
            <w:pPr>
              <w:pStyle w:val="TableCell"/>
            </w:pPr>
            <w:r>
              <w:t xml:space="preserve">7 Oct</w:t>
            </w:r>
          </w:p>
        </w:tc>
        <w:tc>
          <w:tcPr>
            <w:tcW w:w="2406" w:type="dxa"/>
            <w:vAlign w:val="center"/>
          </w:tcPr>
          <w:p>
            <w:pPr>
              <w:pStyle w:val="TableCell"/>
            </w:pPr>
            <w:r>
              <w:t xml:space="preserve">Done</w:t>
            </w:r>
          </w:p>
        </w:tc>
      </w:tr>
      <w:tr>
        <w:trPr>
          <w:cantSplit/>
        </w:trPr>
        <w:tc>
          <w:tcPr>
            <w:tcW w:w="4200" w:type="dxa"/>
            <w:vAlign w:val="center"/>
          </w:tcPr>
          <w:p>
            <w:pPr>
              <w:pStyle w:val="TableCell"/>
            </w:pPr>
            <w:r>
              <w:t xml:space="preserve">Prepare the first invoice batch together</w:t>
            </w:r>
          </w:p>
        </w:tc>
        <w:tc>
          <w:tcPr>
            <w:tcW w:w="2300" w:type="dxa"/>
            <w:vAlign w:val="center"/>
          </w:tcPr>
          <w:p>
            <w:pPr>
              <w:pStyle w:val="TableCell"/>
            </w:pPr>
            <w:r>
              <w:t xml:space="preserve">Finance lead</w:t>
            </w:r>
          </w:p>
        </w:tc>
        <w:tc>
          <w:tcPr>
            <w:tcW w:w="1300" w:type="dxa"/>
            <w:vAlign w:val="center"/>
          </w:tcPr>
          <w:p>
            <w:pPr>
              <w:pStyle w:val="TableCell"/>
            </w:pPr>
            <w:r>
              <w:t xml:space="preserve">9 Oct</w:t>
            </w:r>
          </w:p>
        </w:tc>
        <w:tc>
          <w:tcPr>
            <w:tcW w:w="2406" w:type="dxa"/>
            <w:vAlign w:val="center"/>
          </w:tcPr>
          <w:p>
            <w:pPr>
              <w:pStyle w:val="TableCell"/>
            </w:pPr>
            <w:r>
              <w:t xml:space="preserve">Done</w:t>
            </w:r>
          </w:p>
        </w:tc>
      </w:tr>
      <w:tr>
        <w:trPr>
          <w:cantSplit/>
        </w:trPr>
        <w:tc>
          <w:tcPr>
            <w:tcW w:w="4200" w:type="dxa"/>
            <w:vAlign w:val="center"/>
          </w:tcPr>
          <w:p>
            <w:pPr>
              <w:pStyle w:val="TableCell"/>
            </w:pPr>
            <w:r>
              <w:t xml:space="preserve">Add billing codes to the two unbilled jobs</w:t>
            </w:r>
          </w:p>
        </w:tc>
        <w:tc>
          <w:tcPr>
            <w:tcW w:w="2300" w:type="dxa"/>
            <w:vAlign w:val="center"/>
          </w:tcPr>
          <w:p>
            <w:pPr>
              <w:pStyle w:val="TableCell"/>
            </w:pPr>
            <w:r>
              <w:t xml:space="preserve">Finance lead</w:t>
            </w:r>
          </w:p>
        </w:tc>
        <w:tc>
          <w:tcPr>
            <w:tcW w:w="1300" w:type="dxa"/>
            <w:vAlign w:val="center"/>
          </w:tcPr>
          <w:p>
            <w:pPr>
              <w:pStyle w:val="TableCell"/>
            </w:pPr>
            <w:r>
              <w:t xml:space="preserve">19 Oct</w:t>
            </w:r>
          </w:p>
        </w:tc>
        <w:tc>
          <w:tcPr>
            <w:tcW w:w="2406" w:type="dxa"/>
            <w:vAlign w:val="center"/>
          </w:tcPr>
          <w:p>
            <w:pPr>
              <w:pStyle w:val="TableCell"/>
            </w:pPr>
            <w:r>
              <w:t xml:space="preserve">In progress</w:t>
            </w:r>
          </w:p>
        </w:tc>
      </w:tr>
      <w:tr>
        <w:trPr>
          <w:cantSplit/>
        </w:trPr>
        <w:tc>
          <w:tcPr>
            <w:tcW w:w="4200" w:type="dxa"/>
            <w:vAlign w:val="center"/>
          </w:tcPr>
          <w:p>
            <w:pPr>
              <w:pStyle w:val="TableCell"/>
            </w:pPr>
            <w:r>
              <w:t xml:space="preserve">Run the next invoice batch without support</w:t>
            </w:r>
          </w:p>
        </w:tc>
        <w:tc>
          <w:tcPr>
            <w:tcW w:w="2300" w:type="dxa"/>
            <w:vAlign w:val="center"/>
          </w:tcPr>
          <w:p>
            <w:pPr>
              <w:pStyle w:val="TableCell"/>
            </w:pPr>
            <w:r>
              <w:t xml:space="preserve">Finance lead</w:t>
            </w:r>
          </w:p>
        </w:tc>
        <w:tc>
          <w:tcPr>
            <w:tcW w:w="1300" w:type="dxa"/>
            <w:vAlign w:val="center"/>
          </w:tcPr>
          <w:p>
            <w:pPr>
              <w:pStyle w:val="TableCell"/>
            </w:pPr>
            <w:r>
              <w:t xml:space="preserve">23 Oct</w:t>
            </w:r>
          </w:p>
        </w:tc>
        <w:tc>
          <w:tcPr>
            <w:tcW w:w="2406" w:type="dxa"/>
            <w:vAlign w:val="center"/>
          </w:tcPr>
          <w:p>
            <w:pPr>
              <w:pStyle w:val="TableCell"/>
            </w:pPr>
            <w:r>
              <w:t xml:space="preserve">Not started</w:t>
            </w:r>
          </w:p>
        </w:tc>
      </w:tr>
    </w:tbl>
    <w:p>
      <w:pPr>
        <w:pStyle w:val="Heading1"/>
      </w:pPr>
      <w:r>
        <w:t xml:space="preserve">Current blocker</w:t>
      </w:r>
    </w:p>
    <w:p>
      <w:pPr>
        <w:pStyle w:val="Normal"/>
      </w:pPr>
      <w:r>
        <w:t xml:space="preserve">Two completed jobs have no billing code, so they cannot be invoiced. The finance lead will confirm the codes with the project owners by 19 October.</w:t>
      </w:r>
    </w:p>
    <w:p>
      <w:pPr>
        <w:pStyle w:val="Heading1"/>
      </w:pPr>
      <w:r>
        <w:t xml:space="preserve">Review notes</w:t>
      </w:r>
    </w:p>
    <w:p>
      <w:pPr>
        <w:pStyle w:val="Normal"/>
      </w:pPr>
      <w:r>
        <w:t xml:space="preserve">15 October: preparation time fell to 4.5 hours. We agreed to fix the missing billing codes and run the next batch without support. Compare the new time log and invoicing rate on 29 October.</w:t>
      </w:r>
    </w:p>
    <w:p>
      <w:pPr>
        <w:pStyle w:val="Heading1"/>
      </w:pPr>
      <w:r>
        <w:t xml:space="preserve">Check-in schedule</w:t>
      </w:r>
    </w:p>
    <w:p>
      <w:pPr>
        <w:pStyle w:val="Normal"/>
      </w:pPr>
      <w:r>
        <w:t xml:space="preserve">Both leads will meet every other Thursday for 20 minutes. The finance lead will email the latest figures beforehand; urgent blockers go in the same email thread as they arise.</w:t>
      </w:r>
    </w:p>
    <w:sectPr>
      <w:pgSz w:w="11906" w:h="16838"/>
      <w:pgMar w:top="760" w:right="850" w:bottom="760" w:left="850" w:header="0" w:footer="0" w:gutter="0"/>
    </w:sectPr>
  </w:body>
</w:document>
</file>

<file path=word/styles.xml><?xml version="1.0" encoding="utf-8"?>
<w:styles xmlns:w="http://schemas.openxmlformats.org/wordprocessingml/2006/main">
  <w:docDefaults>
    <w:rPrDefault>
      <w:rPr>
        <w:rFonts w:ascii="Arial" w:hAnsi="Arial"/>
        <w:color w:val="354857"/>
        <w:sz w:val="20"/>
        <w:lang w:val="en-US"/>
      </w:rPr>
    </w:rPrDefault>
    <w:pPrDefault>
      <w:pPr>
        <w:spacing w:after="100" w:line="270" w:lineRule="auto"/>
        <w:widowControl/>
      </w:pPr>
    </w:pPrDefault>
  </w:docDefaults>
  <w:style w:type="paragraph" w:default="1" w:styleId="Normal">
    <w:name w:val="Normal"/>
  </w:style>
  <w:style w:type="paragraph" w:styleId="Title">
    <w:name w:val="Title"/>
    <w:basedOn w:val="Normal"/>
    <w:pPr>
      <w:keepNext/>
      <w:spacing w:after="70"/>
    </w:pPr>
    <w:rPr>
      <w:b/>
      <w:sz w:val="48"/>
      <w:color w:val="081929"/>
    </w:rPr>
  </w:style>
  <w:style w:type="paragraph" w:styleId="Subtitle">
    <w:name w:val="Subtitle"/>
    <w:basedOn w:val="Normal"/>
    <w:pPr>
      <w:keepNext/>
      <w:spacing w:after="180"/>
    </w:pPr>
    <w:rPr>
      <w:color w:val="637B8F"/>
      <w:sz w:val="21"/>
    </w:rPr>
  </w:style>
  <w:style w:type="paragraph" w:styleId="Heading1">
    <w:name w:val="heading 1"/>
    <w:basedOn w:val="Normal"/>
    <w:pPr>
      <w:keepNext/>
      <w:keepLines/>
      <w:outlineLvl w:val="0"/>
      <w:spacing w:before="230" w:after="90"/>
    </w:pPr>
    <w:rPr>
      <w:b/>
      <w:color w:val="172E3F"/>
      <w:sz w:val="23"/>
    </w:rPr>
  </w:style>
  <w:style w:type="paragraph" w:styleId="TableCell">
    <w:name w:val="Table cell"/>
    <w:basedOn w:val="Normal"/>
    <w:pPr>
      <w:spacing w:after="0" w:line="240" w:lineRule="auto"/>
    </w:pPr>
    <w:rPr>
      <w:sz w:val="19"/>
    </w:rPr>
  </w:style>
  <w:style w:type="paragraph" w:styleId="TableHeader">
    <w:name w:val="Table header"/>
    <w:basedOn w:val="TableCell"/>
    <w:pPr>
      <w:keepNext/>
    </w:pPr>
    <w:rPr>
      <w:b/>
      <w:color w:val="426985"/>
      <w:sz w:val="18"/>
    </w:rPr>
  </w:style>
  <w:style w:type="paragraph" w:styleId="Note">
    <w:name w:val="Note"/>
    <w:basedOn w:val="Normal"/>
    <w:pPr>
      <w:spacing w:before="80" w:after="70"/>
    </w:pPr>
    <w:rPr>
      <w:color w:val="6F8495"/>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